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02" w:type="dxa"/>
        <w:tblLook w:val="04A0"/>
      </w:tblPr>
      <w:tblGrid>
        <w:gridCol w:w="5016"/>
        <w:gridCol w:w="4986"/>
      </w:tblGrid>
      <w:tr w:rsidR="00CB68D5" w:rsidRPr="000116AD" w:rsidTr="003210C2">
        <w:tc>
          <w:tcPr>
            <w:tcW w:w="10002" w:type="dxa"/>
            <w:gridSpan w:val="2"/>
          </w:tcPr>
          <w:p w:rsidR="00CB68D5" w:rsidRPr="000116AD" w:rsidRDefault="00CB68D5" w:rsidP="00CB68D5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16AD">
              <w:rPr>
                <w:rFonts w:ascii="Times New Roman" w:hAnsi="Times New Roman"/>
                <w:b/>
                <w:sz w:val="28"/>
                <w:szCs w:val="28"/>
              </w:rPr>
              <w:t>Качество материально-технической базы</w:t>
            </w:r>
          </w:p>
        </w:tc>
      </w:tr>
      <w:tr w:rsidR="00CB68D5" w:rsidRPr="004B3507" w:rsidTr="003210C2">
        <w:tc>
          <w:tcPr>
            <w:tcW w:w="10002" w:type="dxa"/>
            <w:gridSpan w:val="2"/>
          </w:tcPr>
          <w:p w:rsidR="00CB68D5" w:rsidRPr="004B3507" w:rsidRDefault="00CB68D5" w:rsidP="003210C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Детский сад  расположен в центре города Армавира. Общая площадь территории  участка- 5505кв.м. Из них: застроенная – 904 кв</w:t>
            </w:r>
            <w:proofErr w:type="gramStart"/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; замощенная - 1278кв.м; озеленённая -227 кв.м, прочая 3096 кв.м.</w:t>
            </w:r>
          </w:p>
          <w:p w:rsidR="00CB68D5" w:rsidRPr="004B3507" w:rsidRDefault="00CB68D5" w:rsidP="003210C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На территории детского сада произрастает 120 единиц зелёных насаждений. В настоящее время на одного воспитанника приходится 2 кв. метра озеленённой площади.</w:t>
            </w:r>
          </w:p>
          <w:p w:rsidR="00CB68D5" w:rsidRPr="004B3507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 xml:space="preserve">Здание детского сада двухэтажное, имеет кровлю из </w:t>
            </w:r>
            <w:proofErr w:type="spellStart"/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металлопрофиля</w:t>
            </w:r>
            <w:proofErr w:type="spellEnd"/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, имеет 9 входных маршей; 2 пожарных эвакуационных выхода со второго этажа. Наружное освещение установлено на крыше здания. На фасаде здания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видеокамер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позволяющих обозревать всю территорию</w:t>
            </w: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. Участок детского сада обнесён наружным металлическим ограждением. Предусмотрено два въезда с воротами и одна калитка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домофоном</w:t>
            </w:r>
            <w:proofErr w:type="spellEnd"/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8D5" w:rsidRPr="004B3507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507">
              <w:rPr>
                <w:rFonts w:ascii="Times New Roman" w:hAnsi="Times New Roman" w:cs="Times New Roman"/>
                <w:sz w:val="24"/>
                <w:szCs w:val="24"/>
              </w:rPr>
              <w:t xml:space="preserve">Рядом с детским садом находится </w:t>
            </w:r>
            <w:proofErr w:type="spellStart"/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Масложиркомбинат</w:t>
            </w:r>
            <w:proofErr w:type="spellEnd"/>
            <w:r w:rsidRPr="004B3507">
              <w:rPr>
                <w:rFonts w:ascii="Times New Roman" w:hAnsi="Times New Roman" w:cs="Times New Roman"/>
                <w:sz w:val="24"/>
                <w:szCs w:val="24"/>
              </w:rPr>
              <w:t xml:space="preserve">, регулярно проходящий </w:t>
            </w:r>
            <w:proofErr w:type="spellStart"/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экоконтроль</w:t>
            </w:r>
            <w:proofErr w:type="spellEnd"/>
            <w:r w:rsidRPr="004B3507">
              <w:rPr>
                <w:rFonts w:ascii="Times New Roman" w:hAnsi="Times New Roman" w:cs="Times New Roman"/>
                <w:sz w:val="24"/>
                <w:szCs w:val="24"/>
              </w:rPr>
              <w:t xml:space="preserve"> на выброс загрязняющих атмосферный воздух веществ.</w:t>
            </w:r>
            <w:proofErr w:type="gramEnd"/>
            <w:r w:rsidRPr="004B3507">
              <w:rPr>
                <w:rFonts w:ascii="Times New Roman" w:hAnsi="Times New Roman" w:cs="Times New Roman"/>
                <w:sz w:val="24"/>
                <w:szCs w:val="24"/>
              </w:rPr>
              <w:t xml:space="preserve"> Автомагистраль по ул. Кирова находится на расстоянии 300 метров от детского сада. Жилые дома удалены от детского сада на север и восток на 30 метров. В шаговой доступности имеется общеобразовательная школа № 8, почта, детская поликлиника № 1, магазины, аптеки, парикмахерские, пункты бытового обслуживания.</w:t>
            </w:r>
          </w:p>
          <w:p w:rsidR="00CB68D5" w:rsidRPr="004B3507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Источники шума не превышают санитарных норм. Проезжая часть улиц Карла Либкнехта и Володарского, прилегающих к территории детского сада источником шума и загрязнения не является. Все подъезды к детскому саду асфальтированы. Для стоянки машин сделаны парковки. Дорога возле детского сада мало загружена. В основном ею пользуются родители воспитанников детского сада. Теплоснабжение и подача горячей воды осуществляется от централизованной котельной. Неудобств и опасности эта линия для жизнедеятельности детского сада не создаёт.</w:t>
            </w:r>
          </w:p>
          <w:p w:rsidR="00CB68D5" w:rsidRPr="004B3507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Отсутствие источников загрязнения окружающей среды, и наряду с этим наличие большого количества зеленых насаждений в непосредственном окружении детского сада, создают благоприятные условия для оздоровления детей. Детский сад находится внутри густо озеленённого жилого массива.</w:t>
            </w:r>
          </w:p>
        </w:tc>
      </w:tr>
      <w:tr w:rsidR="00CB68D5" w:rsidRPr="004B3507" w:rsidTr="003210C2">
        <w:tc>
          <w:tcPr>
            <w:tcW w:w="5016" w:type="dxa"/>
          </w:tcPr>
          <w:p w:rsidR="00CB68D5" w:rsidRPr="004B3507" w:rsidRDefault="00CB68D5" w:rsidP="0032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площадей в помещении детского сада</w:t>
            </w:r>
          </w:p>
        </w:tc>
        <w:tc>
          <w:tcPr>
            <w:tcW w:w="4986" w:type="dxa"/>
          </w:tcPr>
          <w:p w:rsidR="00CB68D5" w:rsidRPr="004B3507" w:rsidRDefault="00CB68D5" w:rsidP="0032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Кабинет заведующего-1</w:t>
            </w:r>
          </w:p>
          <w:p w:rsidR="00CB68D5" w:rsidRPr="004B3507" w:rsidRDefault="00CB68D5" w:rsidP="0032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proofErr w:type="gramEnd"/>
            <w:r w:rsidRPr="004B3507">
              <w:rPr>
                <w:rFonts w:ascii="Times New Roman" w:hAnsi="Times New Roman" w:cs="Times New Roman"/>
                <w:sz w:val="24"/>
                <w:szCs w:val="24"/>
              </w:rPr>
              <w:t xml:space="preserve">  службы-1</w:t>
            </w:r>
          </w:p>
          <w:p w:rsidR="00CB68D5" w:rsidRPr="004B3507" w:rsidRDefault="00CB68D5" w:rsidP="0032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 xml:space="preserve"> Кабинет </w:t>
            </w:r>
            <w:proofErr w:type="gramStart"/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организационно-методической</w:t>
            </w:r>
            <w:proofErr w:type="gramEnd"/>
            <w:r w:rsidRPr="004B3507">
              <w:rPr>
                <w:rFonts w:ascii="Times New Roman" w:hAnsi="Times New Roman" w:cs="Times New Roman"/>
                <w:sz w:val="24"/>
                <w:szCs w:val="24"/>
              </w:rPr>
              <w:t xml:space="preserve"> службы-1</w:t>
            </w:r>
          </w:p>
          <w:p w:rsidR="00CB68D5" w:rsidRPr="004B3507" w:rsidRDefault="00CB68D5" w:rsidP="0032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 xml:space="preserve"> Прачечная-1</w:t>
            </w:r>
          </w:p>
          <w:p w:rsidR="00CB68D5" w:rsidRPr="004B3507" w:rsidRDefault="00CB68D5" w:rsidP="0032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Пищеблок-1</w:t>
            </w:r>
          </w:p>
          <w:p w:rsidR="00CB68D5" w:rsidRPr="004B3507" w:rsidRDefault="00CB68D5" w:rsidP="0032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Музыкальный зал-1</w:t>
            </w:r>
          </w:p>
          <w:p w:rsidR="00CB68D5" w:rsidRPr="004B3507" w:rsidRDefault="00CB68D5" w:rsidP="0032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педагога-психолога-1</w:t>
            </w:r>
          </w:p>
          <w:p w:rsidR="00CB68D5" w:rsidRPr="004B3507" w:rsidRDefault="00CB68D5" w:rsidP="0032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Кабинет музыкального руководителя, инструктора по ФК- 1</w:t>
            </w:r>
          </w:p>
          <w:p w:rsidR="00CB68D5" w:rsidRPr="004B3507" w:rsidRDefault="00CB68D5" w:rsidP="0032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кабинет-1 </w:t>
            </w:r>
          </w:p>
        </w:tc>
      </w:tr>
      <w:tr w:rsidR="00CB68D5" w:rsidRPr="004B3507" w:rsidTr="003210C2">
        <w:tc>
          <w:tcPr>
            <w:tcW w:w="5016" w:type="dxa"/>
          </w:tcPr>
          <w:p w:rsidR="00CB68D5" w:rsidRPr="004B3507" w:rsidRDefault="00CB68D5" w:rsidP="0032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площадей на участке детского сада</w:t>
            </w:r>
          </w:p>
        </w:tc>
        <w:tc>
          <w:tcPr>
            <w:tcW w:w="4986" w:type="dxa"/>
          </w:tcPr>
          <w:p w:rsidR="00CB68D5" w:rsidRPr="004B3507" w:rsidRDefault="00CB68D5" w:rsidP="0032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Игровые площадки-6</w:t>
            </w:r>
          </w:p>
          <w:p w:rsidR="00CB68D5" w:rsidRPr="004B3507" w:rsidRDefault="00CB68D5" w:rsidP="0032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площадка-1</w:t>
            </w:r>
          </w:p>
          <w:p w:rsidR="00CB68D5" w:rsidRPr="004B3507" w:rsidRDefault="00CB68D5" w:rsidP="0032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Площадка для дорожного движения</w:t>
            </w:r>
          </w:p>
          <w:p w:rsidR="00CB68D5" w:rsidRPr="004B3507" w:rsidRDefault="00CB68D5" w:rsidP="0032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Огород-1</w:t>
            </w:r>
          </w:p>
        </w:tc>
      </w:tr>
      <w:tr w:rsidR="00CB68D5" w:rsidRPr="004B3507" w:rsidTr="003210C2">
        <w:tc>
          <w:tcPr>
            <w:tcW w:w="5016" w:type="dxa"/>
          </w:tcPr>
          <w:p w:rsidR="00CB68D5" w:rsidRPr="004B3507" w:rsidRDefault="00CB68D5" w:rsidP="0032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специализированного оборудования</w:t>
            </w:r>
          </w:p>
        </w:tc>
        <w:tc>
          <w:tcPr>
            <w:tcW w:w="4986" w:type="dxa"/>
          </w:tcPr>
          <w:p w:rsidR="00CB68D5" w:rsidRPr="004B3507" w:rsidRDefault="00CB68D5" w:rsidP="003210C2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B350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с экраном -2</w:t>
            </w:r>
          </w:p>
          <w:p w:rsidR="00CB68D5" w:rsidRPr="004B3507" w:rsidRDefault="00CB68D5" w:rsidP="0032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Компьютер-5</w:t>
            </w:r>
          </w:p>
          <w:p w:rsidR="00CB68D5" w:rsidRPr="004B3507" w:rsidRDefault="00CB68D5" w:rsidP="0032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Принтер-3</w:t>
            </w:r>
          </w:p>
          <w:p w:rsidR="00CB68D5" w:rsidRPr="004B3507" w:rsidRDefault="00CB68D5" w:rsidP="0032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Синтезатор-1</w:t>
            </w:r>
          </w:p>
          <w:p w:rsidR="00CB68D5" w:rsidRPr="004B3507" w:rsidRDefault="00CB68D5" w:rsidP="0032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Фортепиано-3</w:t>
            </w:r>
          </w:p>
          <w:p w:rsidR="00CB68D5" w:rsidRPr="004B3507" w:rsidRDefault="00CB68D5" w:rsidP="0032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Музыкальный центр-1</w:t>
            </w:r>
          </w:p>
        </w:tc>
      </w:tr>
      <w:tr w:rsidR="00CB68D5" w:rsidRPr="004B3507" w:rsidTr="003210C2">
        <w:tc>
          <w:tcPr>
            <w:tcW w:w="10002" w:type="dxa"/>
            <w:gridSpan w:val="2"/>
          </w:tcPr>
          <w:p w:rsidR="00CB68D5" w:rsidRPr="004B3507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На протяжении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материально-техническая база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4B3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поддерживалась и пополнялась. Приоритетным было: текущий ремонт жизнеобеспечивающих систем, приобретение детской мебели, замена посуды на пищеблоке и в группах.</w:t>
            </w:r>
          </w:p>
        </w:tc>
      </w:tr>
      <w:tr w:rsidR="00CB68D5" w:rsidRPr="008D78FD" w:rsidTr="003210C2">
        <w:tc>
          <w:tcPr>
            <w:tcW w:w="501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Направленность приобретений</w:t>
            </w:r>
          </w:p>
        </w:tc>
        <w:tc>
          <w:tcPr>
            <w:tcW w:w="498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приобретений /</w:t>
            </w:r>
          </w:p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CB68D5" w:rsidRPr="008D78FD" w:rsidTr="003210C2">
        <w:tc>
          <w:tcPr>
            <w:tcW w:w="501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498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Приобретения: стеллажи для хранения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холодильники, протирочная машинка</w:t>
            </w:r>
          </w:p>
        </w:tc>
      </w:tr>
      <w:tr w:rsidR="00CB68D5" w:rsidRPr="008D78FD" w:rsidTr="003210C2">
        <w:tc>
          <w:tcPr>
            <w:tcW w:w="501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498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утюг - 1</w:t>
            </w:r>
          </w:p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Обновлено оборудование для сушки белья</w:t>
            </w:r>
          </w:p>
        </w:tc>
      </w:tr>
      <w:tr w:rsidR="00CB68D5" w:rsidRPr="008D78FD" w:rsidTr="003210C2">
        <w:tc>
          <w:tcPr>
            <w:tcW w:w="501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498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Приобретения: </w:t>
            </w:r>
          </w:p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детская мебель – подготовительная, средняя, младшая и ясельная группы,</w:t>
            </w:r>
          </w:p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мебель для организации образовательной деятельности в подготовительной, средней, младшей и ясельной группах,</w:t>
            </w:r>
          </w:p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замена посуды во всех группах</w:t>
            </w:r>
          </w:p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Работы:</w:t>
            </w:r>
          </w:p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Текущий ремонт с побелкой и покраской во всех возрастных группах.</w:t>
            </w:r>
          </w:p>
        </w:tc>
      </w:tr>
      <w:tr w:rsidR="00CB68D5" w:rsidRPr="008D78FD" w:rsidTr="003210C2">
        <w:tc>
          <w:tcPr>
            <w:tcW w:w="501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Холлы, коридоры</w:t>
            </w:r>
          </w:p>
        </w:tc>
        <w:tc>
          <w:tcPr>
            <w:tcW w:w="498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Текущий ремонт с побелкой и покраской и частичной заменой кафельного покрытия, замена всех дверей на пластиковые двери</w:t>
            </w:r>
          </w:p>
        </w:tc>
      </w:tr>
      <w:tr w:rsidR="00CB68D5" w:rsidRPr="008D78FD" w:rsidTr="003210C2">
        <w:tc>
          <w:tcPr>
            <w:tcW w:w="501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98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Приобретения: ковер, жалюзи, музыкальные инструменты, компьютер, стационарная </w:t>
            </w:r>
            <w:proofErr w:type="spellStart"/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8D78FD">
              <w:rPr>
                <w:rFonts w:ascii="Times New Roman" w:hAnsi="Times New Roman" w:cs="Times New Roman"/>
                <w:sz w:val="24"/>
                <w:szCs w:val="24"/>
              </w:rPr>
              <w:t xml:space="preserve"> система  Работы: текущий ремонт с побелкой и покраской замена светильников</w:t>
            </w:r>
          </w:p>
        </w:tc>
      </w:tr>
      <w:tr w:rsidR="00CB68D5" w:rsidRPr="008D78FD" w:rsidTr="003210C2">
        <w:tc>
          <w:tcPr>
            <w:tcW w:w="501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Здание, территория</w:t>
            </w:r>
          </w:p>
        </w:tc>
        <w:tc>
          <w:tcPr>
            <w:tcW w:w="498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Приобретения: спортивные комплексы «Жираф», «Рыбка», «Гусеница», баннер уличный, кашпо для цветов</w:t>
            </w:r>
            <w:proofErr w:type="gramEnd"/>
          </w:p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 xml:space="preserve">Работы: </w:t>
            </w:r>
            <w:proofErr w:type="spellStart"/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доустановка</w:t>
            </w:r>
            <w:proofErr w:type="spellEnd"/>
            <w:r w:rsidRPr="008D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видиосистемы</w:t>
            </w:r>
            <w:proofErr w:type="spellEnd"/>
            <w:r w:rsidRPr="008D78FD">
              <w:rPr>
                <w:rFonts w:ascii="Times New Roman" w:hAnsi="Times New Roman" w:cs="Times New Roman"/>
                <w:sz w:val="24"/>
                <w:szCs w:val="24"/>
              </w:rPr>
              <w:t xml:space="preserve"> (+2 камеры)</w:t>
            </w:r>
          </w:p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спил старых деревьев – 5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посадка саженцев – 10 шт.</w:t>
            </w:r>
          </w:p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ремонт ограждения по всему периметру участка</w:t>
            </w:r>
          </w:p>
        </w:tc>
      </w:tr>
      <w:tr w:rsidR="00CB68D5" w:rsidRPr="008D78FD" w:rsidTr="003210C2">
        <w:tc>
          <w:tcPr>
            <w:tcW w:w="501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498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 xml:space="preserve">Работы: косметический ремонт, </w:t>
            </w:r>
          </w:p>
        </w:tc>
      </w:tr>
      <w:tr w:rsidR="00CB68D5" w:rsidRPr="008D78FD" w:rsidTr="003210C2">
        <w:tc>
          <w:tcPr>
            <w:tcW w:w="501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Кабинет специалистов</w:t>
            </w:r>
          </w:p>
        </w:tc>
        <w:tc>
          <w:tcPr>
            <w:tcW w:w="498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 xml:space="preserve">Работы: косметический ремонт, </w:t>
            </w:r>
          </w:p>
        </w:tc>
      </w:tr>
      <w:tr w:rsidR="00CB68D5" w:rsidRPr="008D78FD" w:rsidTr="003210C2">
        <w:tc>
          <w:tcPr>
            <w:tcW w:w="501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кабинет</w:t>
            </w:r>
          </w:p>
        </w:tc>
        <w:tc>
          <w:tcPr>
            <w:tcW w:w="498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Работы: косметический ремонт</w:t>
            </w:r>
          </w:p>
        </w:tc>
      </w:tr>
      <w:tr w:rsidR="00CB68D5" w:rsidRPr="008D78FD" w:rsidTr="003210C2">
        <w:tc>
          <w:tcPr>
            <w:tcW w:w="501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498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 xml:space="preserve">Работы: косметический ремонт </w:t>
            </w:r>
          </w:p>
        </w:tc>
      </w:tr>
      <w:tr w:rsidR="00CB68D5" w:rsidRPr="008D78FD" w:rsidTr="003210C2">
        <w:tc>
          <w:tcPr>
            <w:tcW w:w="501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Кабинет завхоза</w:t>
            </w:r>
          </w:p>
        </w:tc>
        <w:tc>
          <w:tcPr>
            <w:tcW w:w="4986" w:type="dxa"/>
          </w:tcPr>
          <w:p w:rsidR="00CB68D5" w:rsidRPr="008D78FD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D">
              <w:rPr>
                <w:rFonts w:ascii="Times New Roman" w:hAnsi="Times New Roman" w:cs="Times New Roman"/>
                <w:sz w:val="24"/>
                <w:szCs w:val="24"/>
              </w:rPr>
              <w:t>Работы: косметический ремонт</w:t>
            </w:r>
          </w:p>
        </w:tc>
      </w:tr>
      <w:tr w:rsidR="00CB68D5" w:rsidRPr="004B3507" w:rsidTr="003210C2">
        <w:tc>
          <w:tcPr>
            <w:tcW w:w="10002" w:type="dxa"/>
            <w:gridSpan w:val="2"/>
          </w:tcPr>
          <w:p w:rsidR="00CB68D5" w:rsidRPr="004B3507" w:rsidRDefault="00CB68D5" w:rsidP="00321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07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техническое оснащение и оборудование ДОУ соответствует санитарно-техническим нормам, физиологии детей и требованиям комплексной безопасности к содержанию детей</w:t>
            </w:r>
          </w:p>
        </w:tc>
      </w:tr>
      <w:tr w:rsidR="00CB68D5" w:rsidRPr="00A762B0" w:rsidTr="003210C2">
        <w:trPr>
          <w:trHeight w:val="12038"/>
        </w:trPr>
        <w:tc>
          <w:tcPr>
            <w:tcW w:w="10002" w:type="dxa"/>
            <w:gridSpan w:val="2"/>
          </w:tcPr>
          <w:p w:rsidR="00CB68D5" w:rsidRPr="009D2D78" w:rsidRDefault="00CB68D5" w:rsidP="003210C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заболеваемости детей раннего и дошкольного возраста в Учреждении за последний год не превышает средний показатель заболеваемости по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ьному образованию город Армавир. </w:t>
            </w: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Учреждении отсутствуют случаи детского травматизма и пищевых отравлений.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С целью сохранения и  поддержания психического и физического здоровья детей в  кабинетах специалистов и в группах ДОУ создана здоровь</w:t>
            </w:r>
            <w:proofErr w:type="gramStart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сберегающая среда в общепринятом понятии: соблюдаются санитарно-гигиенические нормы к помещениям, мебели, режиму, чистоте и порядку; выполняются требования к подбору игрового оборудования, игрушек и дидактического материала.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В течение года в ДОУ комплексно используются здоровь</w:t>
            </w:r>
            <w:proofErr w:type="gramStart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сберегающие методики и технологии. Данные методики реализуются всеми педагогами в тесном взаимодействии, с учётом возрастных и индивидуальных особенностей, здоровья детей, режима дня, времени года и погодных условий; в соответствии с ФГОС </w:t>
            </w:r>
            <w:proofErr w:type="gramStart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2.4.1.3049-13.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комплекса </w:t>
            </w:r>
            <w:proofErr w:type="spellStart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методик и технологий за прошедший год определяется снижением уровня заболеваемости, повышением уровня  посещаемости воспитанников, положительными отзывами родителей об оказании образовательной услуги, повышением уровня физического и психического здоровья каждого ребёнка в группах разной направленности, формированием устойчивой мотивации к здоровому образу жизни.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-комплексный утренний приём на воздухе: игры, ходьба и бег по «дорожке здоровья», утренняя гимнастика, закрепление основных движений на «полосе препятствий» на спортивной площадке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-физкультурные минутки и паузы между занятиями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-различные виды гимнастик: гимнастика пробуждения после сна,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зрительная, пальчиковая, дыхательная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- учёт учебной нагрузки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- щадящая сетка на период адаптации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- цветовое и световое оформление развивающей среды на площадках и в группах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- схемы рассадки детей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- сенсорное сопровождение физкультурных занятий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нетрадиционного оборудования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комфортного психологического климата в группах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по ФК: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 </w:t>
            </w:r>
            <w:proofErr w:type="spellStart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Н.Ефименко</w:t>
            </w:r>
            <w:proofErr w:type="spellEnd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«Театр физического развития и оздоровления детей,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Педагог-психолог: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Чистяковой М.И.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, музыкотерапия, песочная терапия, </w:t>
            </w:r>
            <w:proofErr w:type="spellStart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акватерапия</w:t>
            </w:r>
            <w:proofErr w:type="spellEnd"/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Т.А. Азовцевой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-Релаксационные упражнения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руководитель: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-ритмическая гимнастика Бурениной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музыкальным сопровождением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-соблюдение рекомендаций по охране детского слуха и голоса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</w:t>
            </w:r>
            <w:proofErr w:type="spellStart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Ж.Е.Фирилевой</w:t>
            </w:r>
            <w:proofErr w:type="spellEnd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, Е.Г.Сайкиной «СА-ФИ-ДАНСЕ»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Медицинское обслуживание, оздоровительная работа.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Одним из главных направлений работы ДОУ является обеспечение благоприятных условий для сохранения и укрепления здоровья детей.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На протяжении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5-2016</w:t>
            </w: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года коллективом учреждения проводилась систематическая работа по совершенствованию условий для медико-профилактической работы, расширению зон обслуживания детей и улучшению качества оздоровительных мероприятий по составленному «Комплексному плану медико-профилактических мероприятий» с </w:t>
            </w:r>
            <w:r w:rsidRPr="009D2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традиционных и нетрадиционных </w:t>
            </w:r>
            <w:proofErr w:type="spellStart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Подводя итоги оздоровительно-профилактической работы ДОУ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следует отметить, что она строилась с учетом физического развития и индивидуальных особенностей состояния здоровья детей и уровня физической подготовленности детей. В учреждении разработан алгоритм профилактической и оздоровительной работы, по которому в течение года проводился комплекс мероприятий в рамках планов медицинского обслуживания и оздоровительно-профилактической работы с детьми в холодный и тёплый период года.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проводилось оздоровление детей:  контрастное воздушное закаливание, </w:t>
            </w:r>
            <w:proofErr w:type="spellStart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В группах, где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зафиксирован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ОРЗ, проводилось </w:t>
            </w:r>
            <w:proofErr w:type="spellStart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8D5" w:rsidRPr="009D2D78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В сентябре  дети (по согласию родителей) получили профилактические прививки против гриппа, термометрический приём детей ведётся постоянно, что дало положительные результаты: гриппом ни один ребёнок не болел</w:t>
            </w:r>
            <w:proofErr w:type="gramStart"/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B68D5" w:rsidRPr="00A762B0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>В течение года поддерживалась продуктивная связь с поликлиникой № 2, городским «Центром диагностики и консультирования», детской стоматологической поликлиникой.</w:t>
            </w:r>
          </w:p>
          <w:p w:rsidR="00CB68D5" w:rsidRPr="00A762B0" w:rsidRDefault="00CB68D5" w:rsidP="003210C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49BB" w:rsidRDefault="00BD49BB"/>
    <w:sectPr w:rsidR="00BD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DD5"/>
    <w:multiLevelType w:val="multilevel"/>
    <w:tmpl w:val="EB62B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8D5"/>
    <w:rsid w:val="00BD49BB"/>
    <w:rsid w:val="00CB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8D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7360</Characters>
  <Application>Microsoft Office Word</Application>
  <DocSecurity>0</DocSecurity>
  <Lines>61</Lines>
  <Paragraphs>17</Paragraphs>
  <ScaleCrop>false</ScaleCrop>
  <Company>Grizli777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2017-05-27T12:19:00Z</dcterms:created>
  <dcterms:modified xsi:type="dcterms:W3CDTF">2017-05-27T12:19:00Z</dcterms:modified>
</cp:coreProperties>
</file>